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6619BE" w:rsidRDefault="007809A5">
      <w:pPr>
        <w:jc w:val="center"/>
        <w:rPr>
          <w:color w:val="000000" w:themeColor="text1"/>
        </w:rPr>
      </w:pPr>
      <w:bookmarkStart w:id="0" w:name="_Hlk22469238"/>
      <w:r>
        <w:rPr>
          <w:color w:val="000000" w:themeColor="text1"/>
        </w:rPr>
        <w:t>Young Adulthood</w:t>
      </w:r>
    </w:p>
    <w:bookmarkEnd w:id="0"/>
    <w:p w:rsidR="00AA4CB5" w:rsidRPr="00163D38" w:rsidRDefault="001B0B9E">
      <w:pPr>
        <w:jc w:val="center"/>
        <w:rPr>
          <w:color w:val="000000" w:themeColor="text1"/>
        </w:rPr>
      </w:pPr>
      <w:r w:rsidRPr="00163D38">
        <w:rPr>
          <w:color w:val="000000" w:themeColor="text1"/>
        </w:rPr>
        <w:t>Name</w:t>
      </w:r>
    </w:p>
    <w:p w:rsidR="00AA4CB5" w:rsidRPr="00163D38" w:rsidRDefault="001B0B9E">
      <w:pPr>
        <w:jc w:val="center"/>
        <w:rPr>
          <w:color w:val="000000" w:themeColor="text1"/>
        </w:rPr>
      </w:pPr>
      <w:r w:rsidRPr="00163D38">
        <w:rPr>
          <w:color w:val="000000" w:themeColor="text1"/>
        </w:rPr>
        <w:t>Academic Institution</w:t>
      </w:r>
    </w:p>
    <w:p w:rsidR="00AA4CB5" w:rsidRPr="00163D38" w:rsidRDefault="001B0B9E">
      <w:pPr>
        <w:jc w:val="center"/>
        <w:rPr>
          <w:color w:val="000000" w:themeColor="text1"/>
        </w:rPr>
      </w:pPr>
      <w:r w:rsidRPr="00163D38">
        <w:rPr>
          <w:color w:val="000000" w:themeColor="text1"/>
        </w:rPr>
        <w:t>Date</w:t>
      </w: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rPr>
          <w:color w:val="000000" w:themeColor="text1"/>
        </w:rPr>
      </w:pPr>
    </w:p>
    <w:p w:rsidR="724916F4" w:rsidRDefault="724916F4" w:rsidP="724916F4">
      <w:pPr>
        <w:rPr>
          <w:color w:val="000000" w:themeColor="text1"/>
        </w:rPr>
      </w:pPr>
    </w:p>
    <w:p w:rsidR="006619BE" w:rsidRDefault="007809A5" w:rsidP="006619BE">
      <w:pPr>
        <w:jc w:val="center"/>
        <w:rPr>
          <w:color w:val="000000" w:themeColor="text1"/>
        </w:rPr>
      </w:pPr>
      <w:r>
        <w:rPr>
          <w:color w:val="000000" w:themeColor="text1"/>
        </w:rPr>
        <w:lastRenderedPageBreak/>
        <w:t>Young Adulthood</w:t>
      </w:r>
    </w:p>
    <w:p w:rsidR="00FC7FF4" w:rsidRPr="00FC7FF4" w:rsidRDefault="00055368" w:rsidP="00FC7FF4">
      <w:pPr>
        <w:rPr>
          <w:color w:val="000000" w:themeColor="text1"/>
        </w:rPr>
      </w:pPr>
      <w:r>
        <w:rPr>
          <w:color w:val="000000" w:themeColor="text1"/>
        </w:rPr>
        <w:tab/>
      </w:r>
      <w:r w:rsidR="00FC7FF4" w:rsidRPr="00FC7FF4">
        <w:rPr>
          <w:color w:val="000000" w:themeColor="text1"/>
        </w:rPr>
        <w:t xml:space="preserve">According to the woman in the video, communion is caring for others. She explains about her life and the way that she relates to other people in society. From the information that she provides about living with other members of society and her family, communion is defined as the focus that an individual has on others, excluding his or her self-interests. There is also a need to understand unmitigated communion, and this is where an individual shows concern or is excessively worried about other individuals and also places his or her interests, wants, or needs after those of the other individuals. For example, a mother may take up more than one job in a day so that she can make enough money to help them support their family and also make sure that they lead a comfortable life. In this case, the mother offers to do more work each day because she has put the concerns of her family before her needs and wants. Working on more than one job in a day can be tiring, and, in most cases, mothers who work on more than one job do not have sufficient time to engage in activities that promote personal development (Video, 2019). Through the description of the life that is presented by the first woman in the video, the continuity across the lifespan can be said to be progressive. As an individual becomes older, he or she passes through different stages where he or she focuses on different things and makes different priorities. For instance, young people usually focus on education and getting employment while the people who are married are usually focused on their children and their priorities change; family becomes the priority. The changes in responsibility and priority make the people move from one stage of life to another, and this progressive transition defines the lifespan of individuals. </w:t>
      </w:r>
    </w:p>
    <w:p w:rsidR="00FC7FF4" w:rsidRPr="00FC7FF4" w:rsidRDefault="00FC7FF4" w:rsidP="00FC7FF4">
      <w:pPr>
        <w:ind w:firstLine="720"/>
        <w:rPr>
          <w:color w:val="000000" w:themeColor="text1"/>
        </w:rPr>
      </w:pPr>
      <w:r w:rsidRPr="00FC7FF4">
        <w:rPr>
          <w:color w:val="000000" w:themeColor="text1"/>
        </w:rPr>
        <w:t xml:space="preserve"> Life span theorists have identified three main adaptive processes in life span progression; the process is growth, maintenance, and regulation of loss. The man in the video shows evidence </w:t>
      </w:r>
      <w:r w:rsidRPr="00FC7FF4">
        <w:rPr>
          <w:color w:val="000000" w:themeColor="text1"/>
        </w:rPr>
        <w:lastRenderedPageBreak/>
        <w:t>of this process through the life experience that he gives in the video. He narrates about him, and his wife were left feeling lonely after their children had left for college. It was something that could not be avoided. From the experiences narrated, growth can be seen, the children had grown exponentially, and they had attained the age of going to college, the parents, where the man is the father had also grown since their children were swiftly moving into adulthood. When the children went away, the man explains that he and his wife felt empty, they knew that there was something they were missing, and they needed to ways of managing with the loss. According to the narration, the man, his wife, used telephones to remain in constant communication with the children. The man also states that the college where the children were studying was a driving distance; this means that they could occasionally drive to visit their children in college. This shows the evidence of maintenance. When individuals grow from one stage to another, they need to find a proper balance in the new stage so that the process of life span can continue to the next phase. Evidence on the process of regulation of loss can be seen from the video, the man and his wife had to find a way of accepting that their children had become grown and that they had to let them go. According to the man, it takes a lot of convincing to understand the child has grown and become responsible. Understanding and accepting that the children have grown in this case is essential as it is helping the man and his wife in regulating their loss.</w:t>
      </w:r>
    </w:p>
    <w:p w:rsidR="00FC7FF4" w:rsidRPr="00FC7FF4" w:rsidRDefault="00FC7FF4" w:rsidP="00FC7FF4">
      <w:pPr>
        <w:ind w:firstLine="720"/>
        <w:rPr>
          <w:color w:val="000000" w:themeColor="text1"/>
        </w:rPr>
      </w:pPr>
      <w:r w:rsidRPr="00FC7FF4">
        <w:rPr>
          <w:color w:val="000000" w:themeColor="text1"/>
        </w:rPr>
        <w:t xml:space="preserve"> The third woman in the video states that she is not married, because of this, her day is full of activities, and she now shows more compassion to her nieces and nephews. The woman portrays the aspect of generativity by stating that she wants to become a part of her nieces and nephews' lives because she is in retirement. She also focuses on the development of personal relationships with other people that she interacts with when she is participating in active sports. </w:t>
      </w:r>
    </w:p>
    <w:p w:rsidR="00FC7FF4" w:rsidRPr="00FC7FF4" w:rsidRDefault="00FC7FF4" w:rsidP="00FC7FF4">
      <w:pPr>
        <w:ind w:firstLine="720"/>
        <w:rPr>
          <w:color w:val="000000" w:themeColor="text1"/>
        </w:rPr>
      </w:pPr>
      <w:r w:rsidRPr="00FC7FF4">
        <w:rPr>
          <w:color w:val="000000" w:themeColor="text1"/>
        </w:rPr>
        <w:lastRenderedPageBreak/>
        <w:t xml:space="preserve"> The middle-age experience for individuals is one of the most exciting experiences, and this is because most of the individuals do not know what to expect during these mid ages (Emerging Adulthood, 2019). To help provide a proper reflection about life in the middle ages, there is a need to develop reflection questions. In this case, I will ask my parents the following questions to help them reflect on their middle-age live: What were some of the experiences that you had and which had not been anticipated? What were the major problems that you faced during your middle ages? And, if time is taken back, what could you do differently?</w:t>
      </w:r>
    </w:p>
    <w:p w:rsidR="00FD6138" w:rsidRDefault="00FC7FF4" w:rsidP="00FC7FF4">
      <w:pPr>
        <w:ind w:firstLine="720"/>
        <w:rPr>
          <w:color w:val="000000" w:themeColor="text1"/>
        </w:rPr>
      </w:pPr>
      <w:r w:rsidRPr="00FC7FF4">
        <w:rPr>
          <w:color w:val="000000" w:themeColor="text1"/>
        </w:rPr>
        <w:t xml:space="preserve"> Erikson's stages of psychological development provide an overview of the development process of a human being. As a young adult, I will pass through the stage of intimacy and solidarity versus isolation and love. This is the stage where I form relationships with others and also start a family (Dunkel &amp;Harbke, 2017). At the middle ages of 35 to 65, I will be in the stage of generativity versus self-absorption or care. At this stage, I will focus on my career, along with my family. At the late adult age, 65 to death, I will be through the stage of integrity versus despair. At this stage, I will be reflecting on my life and finding contentment for the things that I would have done.</w:t>
      </w:r>
    </w:p>
    <w:p w:rsidR="00FC7FF4" w:rsidRDefault="00FC7FF4" w:rsidP="00FD6138">
      <w:pPr>
        <w:jc w:val="center"/>
        <w:rPr>
          <w:color w:val="000000" w:themeColor="text1"/>
        </w:rPr>
      </w:pPr>
    </w:p>
    <w:p w:rsidR="00FC7FF4" w:rsidRDefault="00FC7FF4" w:rsidP="00FD6138">
      <w:pPr>
        <w:jc w:val="center"/>
        <w:rPr>
          <w:color w:val="000000" w:themeColor="text1"/>
        </w:rPr>
      </w:pPr>
    </w:p>
    <w:p w:rsidR="00FC7FF4" w:rsidRDefault="00FC7FF4" w:rsidP="00FD6138">
      <w:pPr>
        <w:jc w:val="center"/>
        <w:rPr>
          <w:color w:val="000000" w:themeColor="text1"/>
        </w:rPr>
      </w:pPr>
    </w:p>
    <w:p w:rsidR="00FC7FF4" w:rsidRDefault="00FC7FF4" w:rsidP="00FD6138">
      <w:pPr>
        <w:jc w:val="center"/>
        <w:rPr>
          <w:color w:val="000000" w:themeColor="text1"/>
        </w:rPr>
      </w:pPr>
    </w:p>
    <w:p w:rsidR="00FC7FF4" w:rsidRDefault="00FC7FF4" w:rsidP="00FD6138">
      <w:pPr>
        <w:jc w:val="center"/>
        <w:rPr>
          <w:color w:val="000000" w:themeColor="text1"/>
        </w:rPr>
      </w:pPr>
    </w:p>
    <w:p w:rsidR="00FC7FF4" w:rsidRDefault="00FC7FF4" w:rsidP="00FD6138">
      <w:pPr>
        <w:jc w:val="center"/>
        <w:rPr>
          <w:color w:val="000000" w:themeColor="text1"/>
        </w:rPr>
      </w:pPr>
    </w:p>
    <w:p w:rsidR="00FC7FF4" w:rsidRDefault="00FC7FF4" w:rsidP="00FD6138">
      <w:pPr>
        <w:jc w:val="center"/>
        <w:rPr>
          <w:color w:val="000000" w:themeColor="text1"/>
        </w:rPr>
      </w:pPr>
    </w:p>
    <w:p w:rsidR="00FC7FF4" w:rsidRDefault="00FC7FF4" w:rsidP="00FD6138">
      <w:pPr>
        <w:jc w:val="center"/>
        <w:rPr>
          <w:color w:val="000000" w:themeColor="text1"/>
        </w:rPr>
      </w:pPr>
    </w:p>
    <w:p w:rsidR="00844421" w:rsidRDefault="00FD6138" w:rsidP="00FD6138">
      <w:pPr>
        <w:jc w:val="center"/>
        <w:rPr>
          <w:color w:val="000000" w:themeColor="text1"/>
        </w:rPr>
      </w:pPr>
      <w:r>
        <w:rPr>
          <w:color w:val="000000" w:themeColor="text1"/>
        </w:rPr>
        <w:lastRenderedPageBreak/>
        <w:t>References</w:t>
      </w:r>
    </w:p>
    <w:p w:rsidR="000F0577" w:rsidRDefault="000F0577" w:rsidP="000F0577">
      <w:pPr>
        <w:ind w:left="720" w:hanging="720"/>
        <w:rPr>
          <w:color w:val="000000" w:themeColor="text1"/>
        </w:rPr>
      </w:pPr>
      <w:r w:rsidRPr="000F0577">
        <w:rPr>
          <w:color w:val="000000" w:themeColor="text1"/>
        </w:rPr>
        <w:t>Dunkel, C. S., &amp;Harbke, C. (2017). A review of measures of Erikson’s stages of psychosocial development: Evidence for a general factor. </w:t>
      </w:r>
      <w:r w:rsidRPr="000F0577">
        <w:rPr>
          <w:i/>
          <w:iCs/>
          <w:color w:val="000000" w:themeColor="text1"/>
        </w:rPr>
        <w:t>Journal of Adult Development</w:t>
      </w:r>
      <w:r w:rsidRPr="000F0577">
        <w:rPr>
          <w:color w:val="000000" w:themeColor="text1"/>
        </w:rPr>
        <w:t>, </w:t>
      </w:r>
      <w:r w:rsidRPr="000F0577">
        <w:rPr>
          <w:i/>
          <w:iCs/>
          <w:color w:val="000000" w:themeColor="text1"/>
        </w:rPr>
        <w:t>24</w:t>
      </w:r>
      <w:r w:rsidRPr="000F0577">
        <w:rPr>
          <w:color w:val="000000" w:themeColor="text1"/>
        </w:rPr>
        <w:t>(1), 58-76.</w:t>
      </w:r>
    </w:p>
    <w:p w:rsidR="000F0577" w:rsidRDefault="000F0577" w:rsidP="000F0577">
      <w:pPr>
        <w:ind w:left="720" w:hanging="720"/>
        <w:rPr>
          <w:color w:val="000000" w:themeColor="text1"/>
        </w:rPr>
      </w:pPr>
      <w:r w:rsidRPr="000F0577">
        <w:rPr>
          <w:color w:val="000000" w:themeColor="text1"/>
        </w:rPr>
        <w:t>Emerging Adulthood. (2019). Retrieved 1 November 2019, from https://www.youtube.com/watch?v=prD3UHDQ-2M&amp;hd=1</w:t>
      </w:r>
    </w:p>
    <w:p w:rsidR="00B14713" w:rsidRDefault="00E40363" w:rsidP="000F0577">
      <w:pPr>
        <w:ind w:left="720" w:hanging="720"/>
        <w:rPr>
          <w:color w:val="000000" w:themeColor="text1"/>
        </w:rPr>
      </w:pPr>
      <w:r>
        <w:rPr>
          <w:color w:val="000000" w:themeColor="text1"/>
        </w:rPr>
        <w:t>Video</w:t>
      </w:r>
      <w:r w:rsidR="000F0577" w:rsidRPr="000F0577">
        <w:rPr>
          <w:color w:val="000000" w:themeColor="text1"/>
        </w:rPr>
        <w:t>. (2019). Retrieved 1 November 2019, from http://abavtooldev.pearsoncmg.com/myeducationlab/singleplay.php?projectID=broderick&amp;clipID=middleadulthood.flv</w:t>
      </w:r>
    </w:p>
    <w:p w:rsidR="000F0577" w:rsidRDefault="000F0577" w:rsidP="000F0577">
      <w:pPr>
        <w:ind w:left="720" w:hanging="720"/>
        <w:rPr>
          <w:color w:val="000000" w:themeColor="text1"/>
        </w:rPr>
      </w:pPr>
    </w:p>
    <w:p w:rsidR="00FD6138" w:rsidRDefault="00FD6138" w:rsidP="000F0577">
      <w:pPr>
        <w:ind w:left="720" w:hanging="720"/>
        <w:rPr>
          <w:color w:val="000000" w:themeColor="text1"/>
        </w:rPr>
      </w:pPr>
    </w:p>
    <w:p w:rsidR="005B7581" w:rsidRDefault="005B7581" w:rsidP="00FB5502">
      <w:pPr>
        <w:rPr>
          <w:color w:val="000000" w:themeColor="text1"/>
        </w:rPr>
      </w:pPr>
    </w:p>
    <w:p w:rsidR="008A7D68" w:rsidRDefault="008A7D68" w:rsidP="00FB5502">
      <w:pPr>
        <w:rPr>
          <w:color w:val="000000" w:themeColor="text1"/>
        </w:rPr>
      </w:pPr>
    </w:p>
    <w:p w:rsidR="0071691D" w:rsidRDefault="0071691D" w:rsidP="00FB5502">
      <w:pPr>
        <w:rPr>
          <w:color w:val="000000" w:themeColor="text1"/>
        </w:rPr>
      </w:pPr>
      <w:r>
        <w:rPr>
          <w:color w:val="000000" w:themeColor="text1"/>
        </w:rPr>
        <w:tab/>
      </w:r>
    </w:p>
    <w:sectPr w:rsidR="0071691D" w:rsidSect="0034374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7280" w:rsidRDefault="004A7280">
      <w:pPr>
        <w:spacing w:line="240" w:lineRule="auto"/>
      </w:pPr>
      <w:r>
        <w:separator/>
      </w:r>
    </w:p>
  </w:endnote>
  <w:endnote w:type="continuationSeparator" w:id="1">
    <w:p w:rsidR="004A7280" w:rsidRDefault="004A728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7280" w:rsidRDefault="004A7280">
      <w:pPr>
        <w:spacing w:line="240" w:lineRule="auto"/>
      </w:pPr>
      <w:r>
        <w:separator/>
      </w:r>
    </w:p>
  </w:footnote>
  <w:footnote w:type="continuationSeparator" w:id="1">
    <w:p w:rsidR="004A7280" w:rsidRDefault="004A728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7809A5" w:rsidP="009D7B1C">
    <w:pPr>
      <w:pBdr>
        <w:top w:val="nil"/>
        <w:left w:val="nil"/>
        <w:bottom w:val="nil"/>
        <w:right w:val="nil"/>
        <w:between w:val="nil"/>
      </w:pBdr>
      <w:tabs>
        <w:tab w:val="center" w:pos="4680"/>
        <w:tab w:val="right" w:pos="9360"/>
      </w:tabs>
      <w:spacing w:line="240" w:lineRule="auto"/>
      <w:rPr>
        <w:color w:val="000000"/>
      </w:rPr>
    </w:pPr>
    <w:r>
      <w:rPr>
        <w:color w:val="000000"/>
      </w:rPr>
      <w:t>YOUNG ADULTHOOD</w:t>
    </w:r>
    <w:r w:rsidR="003C2963">
      <w:rPr>
        <w:color w:val="000000"/>
      </w:rPr>
      <w:tab/>
    </w:r>
    <w:r w:rsidR="00FA2AB0">
      <w:rPr>
        <w:color w:val="000000"/>
      </w:rPr>
      <w:t xml:space="preserve">                                                                                                            </w:t>
    </w:r>
    <w:r w:rsidR="000725AD">
      <w:rPr>
        <w:color w:val="000000"/>
      </w:rPr>
      <w:fldChar w:fldCharType="begin"/>
    </w:r>
    <w:r w:rsidR="003C2963">
      <w:rPr>
        <w:color w:val="000000"/>
      </w:rPr>
      <w:instrText>PAGE</w:instrText>
    </w:r>
    <w:r w:rsidR="000725AD">
      <w:rPr>
        <w:color w:val="000000"/>
      </w:rPr>
      <w:fldChar w:fldCharType="separate"/>
    </w:r>
    <w:r w:rsidR="00FC7FF4">
      <w:rPr>
        <w:noProof/>
        <w:color w:val="000000"/>
      </w:rPr>
      <w:t>3</w:t>
    </w:r>
    <w:r w:rsidR="000725AD">
      <w:rPr>
        <w:color w:val="000000"/>
      </w:rPr>
      <w:fldChar w:fldCharType="end"/>
    </w:r>
  </w:p>
  <w:p w:rsidR="003C2963" w:rsidRDefault="003C2963"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7809A5">
      <w:rPr>
        <w:color w:val="000000"/>
      </w:rPr>
      <w:t>YOUNG ADULTHOOD</w:t>
    </w:r>
    <w:r w:rsidR="00FA2AB0">
      <w:rPr>
        <w:color w:val="000000"/>
      </w:rPr>
      <w:t xml:space="preserve">                                                                                        </w:t>
    </w:r>
    <w:r w:rsidR="000725AD">
      <w:rPr>
        <w:color w:val="000000"/>
      </w:rPr>
      <w:fldChar w:fldCharType="begin"/>
    </w:r>
    <w:r>
      <w:rPr>
        <w:color w:val="000000"/>
      </w:rPr>
      <w:instrText>PAGE</w:instrText>
    </w:r>
    <w:r w:rsidR="000725AD">
      <w:rPr>
        <w:color w:val="000000"/>
      </w:rPr>
      <w:fldChar w:fldCharType="separate"/>
    </w:r>
    <w:r w:rsidR="00FC7FF4">
      <w:rPr>
        <w:noProof/>
        <w:color w:val="000000"/>
      </w:rPr>
      <w:t>1</w:t>
    </w:r>
    <w:r w:rsidR="000725AD">
      <w:rPr>
        <w:color w:val="000000"/>
      </w:rPr>
      <w:fldChar w:fldCharType="end"/>
    </w:r>
  </w:p>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qwUAvH4Q4SwAAAA="/>
  </w:docVars>
  <w:rsids>
    <w:rsidRoot w:val="00AA4CB5"/>
    <w:rsid w:val="000060FE"/>
    <w:rsid w:val="00027A32"/>
    <w:rsid w:val="00034A86"/>
    <w:rsid w:val="000378E4"/>
    <w:rsid w:val="0004694E"/>
    <w:rsid w:val="00055368"/>
    <w:rsid w:val="00066EC9"/>
    <w:rsid w:val="000725AD"/>
    <w:rsid w:val="000A68F7"/>
    <w:rsid w:val="000B0588"/>
    <w:rsid w:val="000B117C"/>
    <w:rsid w:val="000B4A73"/>
    <w:rsid w:val="000F0577"/>
    <w:rsid w:val="00100881"/>
    <w:rsid w:val="00104E70"/>
    <w:rsid w:val="00150369"/>
    <w:rsid w:val="00163D38"/>
    <w:rsid w:val="00170B14"/>
    <w:rsid w:val="001B0B9E"/>
    <w:rsid w:val="001C4FF7"/>
    <w:rsid w:val="001C6151"/>
    <w:rsid w:val="00207164"/>
    <w:rsid w:val="0022694A"/>
    <w:rsid w:val="002651AD"/>
    <w:rsid w:val="002A3B3E"/>
    <w:rsid w:val="002A68C2"/>
    <w:rsid w:val="00326DE7"/>
    <w:rsid w:val="00343742"/>
    <w:rsid w:val="00356E3B"/>
    <w:rsid w:val="0039563F"/>
    <w:rsid w:val="00396010"/>
    <w:rsid w:val="003B7B23"/>
    <w:rsid w:val="003C2963"/>
    <w:rsid w:val="003D0D13"/>
    <w:rsid w:val="0040496E"/>
    <w:rsid w:val="004201CB"/>
    <w:rsid w:val="004246D7"/>
    <w:rsid w:val="00424FC2"/>
    <w:rsid w:val="004514C2"/>
    <w:rsid w:val="0045194E"/>
    <w:rsid w:val="0045723E"/>
    <w:rsid w:val="004A7280"/>
    <w:rsid w:val="00503DF6"/>
    <w:rsid w:val="005549F2"/>
    <w:rsid w:val="005650CC"/>
    <w:rsid w:val="0057012F"/>
    <w:rsid w:val="005860E2"/>
    <w:rsid w:val="005917A7"/>
    <w:rsid w:val="00597878"/>
    <w:rsid w:val="005B1811"/>
    <w:rsid w:val="005B7581"/>
    <w:rsid w:val="005D2C79"/>
    <w:rsid w:val="005E26E2"/>
    <w:rsid w:val="005E5676"/>
    <w:rsid w:val="0061005A"/>
    <w:rsid w:val="006112EF"/>
    <w:rsid w:val="006553EC"/>
    <w:rsid w:val="006619BE"/>
    <w:rsid w:val="006874B1"/>
    <w:rsid w:val="006E7D6C"/>
    <w:rsid w:val="00710235"/>
    <w:rsid w:val="0071691D"/>
    <w:rsid w:val="00733FD2"/>
    <w:rsid w:val="00766E35"/>
    <w:rsid w:val="007809A5"/>
    <w:rsid w:val="00796C17"/>
    <w:rsid w:val="007A58B7"/>
    <w:rsid w:val="007F170E"/>
    <w:rsid w:val="007F7113"/>
    <w:rsid w:val="00844421"/>
    <w:rsid w:val="00896EE5"/>
    <w:rsid w:val="008A7D68"/>
    <w:rsid w:val="0090493B"/>
    <w:rsid w:val="00910B62"/>
    <w:rsid w:val="00946C86"/>
    <w:rsid w:val="0097581C"/>
    <w:rsid w:val="009D7B1C"/>
    <w:rsid w:val="00A3743D"/>
    <w:rsid w:val="00A75A2B"/>
    <w:rsid w:val="00A85D92"/>
    <w:rsid w:val="00A9074B"/>
    <w:rsid w:val="00AA4CB5"/>
    <w:rsid w:val="00AA5E5E"/>
    <w:rsid w:val="00AE2FC1"/>
    <w:rsid w:val="00AF214B"/>
    <w:rsid w:val="00AF42C3"/>
    <w:rsid w:val="00B041B4"/>
    <w:rsid w:val="00B04DAC"/>
    <w:rsid w:val="00B14713"/>
    <w:rsid w:val="00B54CAD"/>
    <w:rsid w:val="00B74282"/>
    <w:rsid w:val="00BE16B0"/>
    <w:rsid w:val="00BE4971"/>
    <w:rsid w:val="00C02093"/>
    <w:rsid w:val="00C07047"/>
    <w:rsid w:val="00C236AE"/>
    <w:rsid w:val="00C414AB"/>
    <w:rsid w:val="00C71367"/>
    <w:rsid w:val="00C87B1A"/>
    <w:rsid w:val="00C9606C"/>
    <w:rsid w:val="00D36AC7"/>
    <w:rsid w:val="00D51A27"/>
    <w:rsid w:val="00DC39D4"/>
    <w:rsid w:val="00DE3ECA"/>
    <w:rsid w:val="00E32EF9"/>
    <w:rsid w:val="00E37DF9"/>
    <w:rsid w:val="00E40363"/>
    <w:rsid w:val="00EB394F"/>
    <w:rsid w:val="00EF1EE5"/>
    <w:rsid w:val="00F151A0"/>
    <w:rsid w:val="00F65F10"/>
    <w:rsid w:val="00F94A9D"/>
    <w:rsid w:val="00FA2AB0"/>
    <w:rsid w:val="00FB5502"/>
    <w:rsid w:val="00FC7FF4"/>
    <w:rsid w:val="00FD6138"/>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343742"/>
    <w:pPr>
      <w:keepNext/>
      <w:keepLines/>
      <w:spacing w:before="480" w:after="120"/>
      <w:outlineLvl w:val="0"/>
    </w:pPr>
    <w:rPr>
      <w:b/>
      <w:sz w:val="48"/>
      <w:szCs w:val="48"/>
    </w:rPr>
  </w:style>
  <w:style w:type="paragraph" w:styleId="Heading2">
    <w:name w:val="heading 2"/>
    <w:basedOn w:val="Normal"/>
    <w:next w:val="Normal"/>
    <w:rsid w:val="00343742"/>
    <w:pPr>
      <w:keepNext/>
      <w:keepLines/>
      <w:spacing w:before="360" w:after="80"/>
      <w:outlineLvl w:val="1"/>
    </w:pPr>
    <w:rPr>
      <w:b/>
      <w:sz w:val="36"/>
      <w:szCs w:val="36"/>
    </w:rPr>
  </w:style>
  <w:style w:type="paragraph" w:styleId="Heading3">
    <w:name w:val="heading 3"/>
    <w:basedOn w:val="Normal"/>
    <w:next w:val="Normal"/>
    <w:rsid w:val="00343742"/>
    <w:pPr>
      <w:keepNext/>
      <w:keepLines/>
      <w:spacing w:before="280" w:after="80"/>
      <w:outlineLvl w:val="2"/>
    </w:pPr>
    <w:rPr>
      <w:b/>
      <w:sz w:val="28"/>
      <w:szCs w:val="28"/>
    </w:rPr>
  </w:style>
  <w:style w:type="paragraph" w:styleId="Heading4">
    <w:name w:val="heading 4"/>
    <w:basedOn w:val="Normal"/>
    <w:next w:val="Normal"/>
    <w:rsid w:val="00343742"/>
    <w:pPr>
      <w:keepNext/>
      <w:keepLines/>
      <w:spacing w:before="240" w:after="40"/>
      <w:outlineLvl w:val="3"/>
    </w:pPr>
    <w:rPr>
      <w:b/>
    </w:rPr>
  </w:style>
  <w:style w:type="paragraph" w:styleId="Heading5">
    <w:name w:val="heading 5"/>
    <w:basedOn w:val="Normal"/>
    <w:next w:val="Normal"/>
    <w:rsid w:val="00343742"/>
    <w:pPr>
      <w:keepNext/>
      <w:keepLines/>
      <w:spacing w:before="220" w:after="40"/>
      <w:outlineLvl w:val="4"/>
    </w:pPr>
    <w:rPr>
      <w:b/>
      <w:sz w:val="22"/>
      <w:szCs w:val="22"/>
    </w:rPr>
  </w:style>
  <w:style w:type="paragraph" w:styleId="Heading6">
    <w:name w:val="heading 6"/>
    <w:basedOn w:val="Normal"/>
    <w:next w:val="Normal"/>
    <w:rsid w:val="00343742"/>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343742"/>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343742"/>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 w:type="character" w:styleId="Hyperlink">
    <w:name w:val="Hyperlink"/>
    <w:basedOn w:val="DefaultParagraphFont"/>
    <w:uiPriority w:val="99"/>
    <w:unhideWhenUsed/>
    <w:rsid w:val="000F0577"/>
    <w:rPr>
      <w:color w:val="0000FF" w:themeColor="hyperlink"/>
      <w:u w:val="single"/>
    </w:rPr>
  </w:style>
  <w:style w:type="character" w:customStyle="1" w:styleId="UnresolvedMention">
    <w:name w:val="Unresolved Mention"/>
    <w:basedOn w:val="DefaultParagraphFont"/>
    <w:uiPriority w:val="99"/>
    <w:semiHidden/>
    <w:unhideWhenUsed/>
    <w:rsid w:val="000F057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889</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2019-11-01T13:33:00Z</dcterms:created>
  <dcterms:modified xsi:type="dcterms:W3CDTF">2019-11-01T13:33:00Z</dcterms:modified>
</cp:coreProperties>
</file>